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63C25" w14:textId="0B45E6C4" w:rsidR="002A22B8" w:rsidRPr="002A22B8" w:rsidRDefault="002A22B8" w:rsidP="002A22B8">
      <w:pPr>
        <w:jc w:val="center"/>
        <w:rPr>
          <w:b/>
          <w:bCs/>
          <w:sz w:val="28"/>
          <w:szCs w:val="28"/>
        </w:rPr>
      </w:pPr>
      <w:r w:rsidRPr="002A22B8">
        <w:rPr>
          <w:b/>
          <w:bCs/>
          <w:sz w:val="28"/>
          <w:szCs w:val="28"/>
        </w:rPr>
        <w:t>Streamlined Core Principles for Nation Building Projects</w:t>
      </w:r>
    </w:p>
    <w:p w14:paraId="3A5E2FDC" w14:textId="0FE0729D" w:rsidR="002A22B8" w:rsidRDefault="002A22B8" w:rsidP="002A22B8">
      <w:r>
        <w:t>Below is a concise set of five foundational principles that capture the essential values and aspirations CACOR can recommend for evaluating National Building Projects (NBPs). These principles consolidate the original nine and realign them around the primacy of Earth system integrity, intergenerational equity, and adaptive innovation.</w:t>
      </w:r>
    </w:p>
    <w:p w14:paraId="4A5ECB49" w14:textId="77777777" w:rsidR="002A22B8" w:rsidRDefault="002A22B8" w:rsidP="002A22B8">
      <w:r>
        <w:t xml:space="preserve">1. </w:t>
      </w:r>
      <w:r>
        <w:tab/>
        <w:t>Earth System Integrity</w:t>
      </w:r>
    </w:p>
    <w:p w14:paraId="31A98A7C" w14:textId="42DF5EFB" w:rsidR="002A22B8" w:rsidRPr="0033418E" w:rsidRDefault="002A22B8" w:rsidP="002A22B8">
      <w:pPr>
        <w:rPr>
          <w:color w:val="EE0000"/>
        </w:rPr>
      </w:pPr>
      <w:r>
        <w:t xml:space="preserve">Ensure all projects safeguard the stability and resilience of the biosphere, recognizing that a healthy planet is the ultimate enabler of human rights and </w:t>
      </w:r>
      <w:r w:rsidRPr="0033418E">
        <w:rPr>
          <w:color w:val="EE0000"/>
        </w:rPr>
        <w:t>prosperity</w:t>
      </w:r>
      <w:r w:rsidR="0033418E" w:rsidRPr="0033418E">
        <w:rPr>
          <w:color w:val="EE0000"/>
        </w:rPr>
        <w:t xml:space="preserve"> in the context of the environmental polycrisis</w:t>
      </w:r>
      <w:r w:rsidRPr="0033418E">
        <w:rPr>
          <w:color w:val="EE0000"/>
        </w:rPr>
        <w:t>.</w:t>
      </w:r>
      <w:r w:rsidR="0033418E">
        <w:rPr>
          <w:color w:val="EE0000"/>
        </w:rPr>
        <w:t xml:space="preserve"> - PKM</w:t>
      </w:r>
    </w:p>
    <w:p w14:paraId="50327E27" w14:textId="77777777" w:rsidR="002A22B8" w:rsidRDefault="002A22B8" w:rsidP="002A22B8">
      <w:r>
        <w:t xml:space="preserve">2. </w:t>
      </w:r>
      <w:r>
        <w:tab/>
        <w:t>Future-Centred Resilience</w:t>
      </w:r>
    </w:p>
    <w:p w14:paraId="3C1E8678" w14:textId="69F53F2E" w:rsidR="002A22B8" w:rsidRPr="009B17FE" w:rsidRDefault="002A22B8" w:rsidP="002A22B8">
      <w:pPr>
        <w:rPr>
          <w:color w:val="EE0000"/>
        </w:rPr>
      </w:pPr>
      <w:r>
        <w:t>Design for mid-century and end-century conditions, leveraging cutting-edge technologies while maintaining flexibility to adapt as climate and societal needs evolve</w:t>
      </w:r>
      <w:r w:rsidR="009B17FE">
        <w:t xml:space="preserve">, </w:t>
      </w:r>
      <w:r w:rsidR="009B17FE" w:rsidRPr="009B17FE">
        <w:rPr>
          <w:color w:val="EE0000"/>
        </w:rPr>
        <w:t>including enhanced cybersecurity and protection from AI-enabled maleficence, from state to longe wolf actors</w:t>
      </w:r>
      <w:r w:rsidRPr="009B17FE">
        <w:rPr>
          <w:color w:val="EE0000"/>
        </w:rPr>
        <w:t>.</w:t>
      </w:r>
      <w:r w:rsidR="009B17FE">
        <w:rPr>
          <w:color w:val="EE0000"/>
        </w:rPr>
        <w:t xml:space="preserve"> PKM</w:t>
      </w:r>
    </w:p>
    <w:p w14:paraId="7A197D6F" w14:textId="77777777" w:rsidR="002A22B8" w:rsidRDefault="002A22B8" w:rsidP="002A22B8">
      <w:r>
        <w:t xml:space="preserve">3. </w:t>
      </w:r>
      <w:r>
        <w:tab/>
        <w:t>Circularity and Resource Sovereignty</w:t>
      </w:r>
    </w:p>
    <w:p w14:paraId="3EEE1558" w14:textId="2C96B135" w:rsidR="002A22B8" w:rsidRDefault="002A22B8" w:rsidP="002A22B8">
      <w:r>
        <w:t>Embed zero-waste, reuse, and recycling mandates, reducing dependency on external supply chains and closing material loops within Canada</w:t>
      </w:r>
      <w:r w:rsidR="009B17FE">
        <w:t xml:space="preserve"> </w:t>
      </w:r>
      <w:r w:rsidR="009B17FE" w:rsidRPr="0033418E">
        <w:rPr>
          <w:color w:val="EE0000"/>
        </w:rPr>
        <w:t xml:space="preserve">and through interprovincial/territorial </w:t>
      </w:r>
      <w:r w:rsidR="0033418E">
        <w:rPr>
          <w:color w:val="EE0000"/>
        </w:rPr>
        <w:t xml:space="preserve">and federal </w:t>
      </w:r>
      <w:r w:rsidR="0033418E" w:rsidRPr="0033418E">
        <w:rPr>
          <w:color w:val="EE0000"/>
        </w:rPr>
        <w:t xml:space="preserve">collaboration </w:t>
      </w:r>
      <w:r w:rsidR="009B17FE" w:rsidRPr="0033418E">
        <w:rPr>
          <w:color w:val="EE0000"/>
        </w:rPr>
        <w:t xml:space="preserve">appropriate </w:t>
      </w:r>
      <w:r w:rsidR="0033418E" w:rsidRPr="0033418E">
        <w:rPr>
          <w:color w:val="EE0000"/>
        </w:rPr>
        <w:t>to</w:t>
      </w:r>
      <w:r w:rsidR="009B17FE" w:rsidRPr="0033418E">
        <w:rPr>
          <w:color w:val="EE0000"/>
        </w:rPr>
        <w:t xml:space="preserve"> emerging economy/social conditions</w:t>
      </w:r>
      <w:r w:rsidRPr="0033418E">
        <w:rPr>
          <w:color w:val="EE0000"/>
        </w:rPr>
        <w:t>.</w:t>
      </w:r>
      <w:r w:rsidR="0033418E" w:rsidRPr="0033418E">
        <w:rPr>
          <w:color w:val="EE0000"/>
        </w:rPr>
        <w:t xml:space="preserve"> PKM</w:t>
      </w:r>
    </w:p>
    <w:p w14:paraId="4EB59AEC" w14:textId="77777777" w:rsidR="002A22B8" w:rsidRDefault="002A22B8" w:rsidP="002A22B8">
      <w:r>
        <w:t xml:space="preserve">4. </w:t>
      </w:r>
      <w:r>
        <w:tab/>
        <w:t>Equity and Reconciliation</w:t>
      </w:r>
    </w:p>
    <w:p w14:paraId="2805344A" w14:textId="77777777" w:rsidR="002A22B8" w:rsidRDefault="002A22B8" w:rsidP="002A22B8">
      <w:r>
        <w:t>Uphold Indigenous rights and meaningful consent at every stage, and protect individuals’ rights to a healthy environment, ensuring benefits and burdens are shared fairly.</w:t>
      </w:r>
    </w:p>
    <w:p w14:paraId="6AB3CB94" w14:textId="77777777" w:rsidR="002A22B8" w:rsidRDefault="002A22B8" w:rsidP="002A22B8">
      <w:r>
        <w:t xml:space="preserve">5. </w:t>
      </w:r>
      <w:r>
        <w:tab/>
        <w:t>Precautionary Innovation</w:t>
      </w:r>
    </w:p>
    <w:p w14:paraId="0E95DEA9" w14:textId="4E9DA4A8" w:rsidR="002A22B8" w:rsidRPr="000F2AAB" w:rsidRDefault="002A22B8" w:rsidP="002A22B8">
      <w:pPr>
        <w:rPr>
          <w:color w:val="EE0000"/>
        </w:rPr>
      </w:pPr>
      <w:r>
        <w:t>Apply the precautionary principle rigorously—no project proceeds if it risks irreversible harm—and favor solutions that minimize pollution, ecosystem disruption, and resource depletion.</w:t>
      </w:r>
      <w:r w:rsidR="000F2AAB">
        <w:t xml:space="preserve">  </w:t>
      </w:r>
      <w:r w:rsidR="000F2AAB">
        <w:rPr>
          <w:color w:val="EE0000"/>
        </w:rPr>
        <w:t>And by adopting the use of foresight</w:t>
      </w:r>
      <w:r w:rsidR="0033418E">
        <w:rPr>
          <w:color w:val="EE0000"/>
        </w:rPr>
        <w:t xml:space="preserve"> </w:t>
      </w:r>
      <w:r w:rsidR="000F2AAB">
        <w:rPr>
          <w:color w:val="EE0000"/>
        </w:rPr>
        <w:t>to anticipate though scenarios future conditions and actions. PKM</w:t>
      </w:r>
    </w:p>
    <w:p w14:paraId="268BB078" w14:textId="77777777" w:rsidR="002A22B8" w:rsidRDefault="002A22B8" w:rsidP="002A22B8"/>
    <w:p w14:paraId="57FDB27A" w14:textId="77777777" w:rsidR="002A22B8" w:rsidRDefault="002A22B8" w:rsidP="002A22B8">
      <w:r>
        <w:t>Underlying Strategic Beliefs</w:t>
      </w:r>
    </w:p>
    <w:p w14:paraId="3AB4C5B7" w14:textId="77777777" w:rsidR="002A22B8" w:rsidRDefault="002A22B8" w:rsidP="002A22B8">
      <w:r>
        <w:t>Articulating the deeper convictions that should guide CACOR’s evaluation framework will help anchor these principles in a shared vision.</w:t>
      </w:r>
    </w:p>
    <w:p w14:paraId="4411DDB0" w14:textId="77777777" w:rsidR="002A22B8" w:rsidRDefault="002A22B8" w:rsidP="002A22B8">
      <w:r>
        <w:t xml:space="preserve">• </w:t>
      </w:r>
      <w:r>
        <w:tab/>
        <w:t>We are entering an era of ecological limits. The “free ride” on fossil-fuel expansion has ended, and continued growth-at-all-costs is neither viable nor responsible.</w:t>
      </w:r>
    </w:p>
    <w:p w14:paraId="7C728B77" w14:textId="0A9454EF" w:rsidR="002A22B8" w:rsidRDefault="002A22B8" w:rsidP="002A22B8">
      <w:r>
        <w:lastRenderedPageBreak/>
        <w:t xml:space="preserve">• </w:t>
      </w:r>
      <w:r>
        <w:tab/>
        <w:t>Business-as-usual, even in a high-tech guise, cannot deliver lasting well-being; technological ambition must be coupled with rigorous ecological and social guardrails</w:t>
      </w:r>
      <w:r w:rsidR="0033418E">
        <w:t xml:space="preserve"> </w:t>
      </w:r>
      <w:r w:rsidR="0033418E" w:rsidRPr="0033418E">
        <w:rPr>
          <w:color w:val="EE0000"/>
        </w:rPr>
        <w:t>and regulations and treaties</w:t>
      </w:r>
      <w:r w:rsidRPr="0033418E">
        <w:rPr>
          <w:color w:val="EE0000"/>
        </w:rPr>
        <w:t>.</w:t>
      </w:r>
      <w:r w:rsidR="0033418E">
        <w:rPr>
          <w:color w:val="EE0000"/>
        </w:rPr>
        <w:t xml:space="preserve"> -PKM</w:t>
      </w:r>
    </w:p>
    <w:p w14:paraId="515D4EF6" w14:textId="77777777" w:rsidR="002A22B8" w:rsidRDefault="002A22B8" w:rsidP="002A22B8">
      <w:r>
        <w:t xml:space="preserve">• </w:t>
      </w:r>
      <w:r>
        <w:tab/>
        <w:t>Canada’s strength lies in its diversity—of ecosystems, cultures, economies—and our projects must reinforce diversified, self-reliant communities rather than deepening external dependencies.</w:t>
      </w:r>
    </w:p>
    <w:p w14:paraId="03AB2197" w14:textId="77777777" w:rsidR="002A22B8" w:rsidRDefault="002A22B8" w:rsidP="002A22B8">
      <w:r>
        <w:t xml:space="preserve">• </w:t>
      </w:r>
      <w:r>
        <w:tab/>
        <w:t>Intergenerational stewardship is non-negotiable. Today’s NBPs must leave our children and grandchildren a world no less hospitable than the one we inherited.</w:t>
      </w:r>
    </w:p>
    <w:p w14:paraId="573458BF" w14:textId="77777777" w:rsidR="002A22B8" w:rsidRDefault="002A22B8" w:rsidP="002A22B8"/>
    <w:p w14:paraId="0E3D8EC0" w14:textId="77777777" w:rsidR="002A22B8" w:rsidRDefault="002A22B8" w:rsidP="002A22B8">
      <w:r>
        <w:t>Next Steps for CACOR</w:t>
      </w:r>
    </w:p>
    <w:p w14:paraId="6A9A1CC9" w14:textId="77777777" w:rsidR="002A22B8" w:rsidRDefault="002A22B8" w:rsidP="002A22B8">
      <w:r>
        <w:t xml:space="preserve">1. </w:t>
      </w:r>
      <w:r>
        <w:tab/>
        <w:t>Confirm the five core principles and underlying beliefs through a rapid internal review (one week).</w:t>
      </w:r>
    </w:p>
    <w:p w14:paraId="354F3E56" w14:textId="4E4B48BB" w:rsidR="002A22B8" w:rsidRDefault="002A22B8" w:rsidP="002A22B8">
      <w:r>
        <w:t xml:space="preserve">2. </w:t>
      </w:r>
      <w:r>
        <w:tab/>
        <w:t xml:space="preserve">Draft a concise mandate for a Rapid Review </w:t>
      </w:r>
      <w:commentRangeStart w:id="0"/>
      <w:r>
        <w:t xml:space="preserve">Government Commission, </w:t>
      </w:r>
      <w:commentRangeEnd w:id="0"/>
      <w:r w:rsidR="00943659">
        <w:rPr>
          <w:rStyle w:val="CommentReference"/>
        </w:rPr>
        <w:commentReference w:id="0"/>
      </w:r>
      <w:r>
        <w:t>embedding these principles into its evaluation criteria.</w:t>
      </w:r>
    </w:p>
    <w:p w14:paraId="3C1731A0" w14:textId="5A63AA01" w:rsidR="002A22B8" w:rsidRDefault="002A22B8" w:rsidP="002A22B8">
      <w:r>
        <w:t xml:space="preserve">3. </w:t>
      </w:r>
      <w:r>
        <w:tab/>
        <w:t>Identify priority sectors (water, food, electrical energy, communications, resilience infrastructure) and outline rapid-feedback loops with Indigenous leaders, scientists, and community stakeholders.</w:t>
      </w:r>
    </w:p>
    <w:p w14:paraId="60D78C6F" w14:textId="77777777" w:rsidR="002A22B8" w:rsidRDefault="002A22B8" w:rsidP="002A22B8">
      <w:r>
        <w:t xml:space="preserve">4. </w:t>
      </w:r>
      <w:r>
        <w:tab/>
        <w:t>Establish clear timelines and performance metrics for annual project reviews over the next decade, ensuring transparency and adaptive management.</w:t>
      </w:r>
    </w:p>
    <w:p w14:paraId="483358D6" w14:textId="77777777" w:rsidR="002A22B8" w:rsidRDefault="002A22B8" w:rsidP="002A22B8"/>
    <w:p w14:paraId="74E3F3C3" w14:textId="77777777" w:rsidR="002A22B8" w:rsidRDefault="002A22B8" w:rsidP="002A22B8">
      <w:r>
        <w:t>Beyond Principles: Expanding the Vision</w:t>
      </w:r>
    </w:p>
    <w:p w14:paraId="680B80DD" w14:textId="058D97ED" w:rsidR="002A22B8" w:rsidRDefault="002A22B8" w:rsidP="002A22B8">
      <w:r>
        <w:t>Once these foundational elements are settled the Rapid Review Government Commission could:</w:t>
      </w:r>
    </w:p>
    <w:p w14:paraId="1C5B9666" w14:textId="0BE38B62" w:rsidR="002A22B8" w:rsidRDefault="002A22B8" w:rsidP="002A22B8">
      <w:r>
        <w:t xml:space="preserve">• </w:t>
      </w:r>
      <w:r>
        <w:tab/>
        <w:t xml:space="preserve">Develop a dashboard of “Planetary </w:t>
      </w:r>
      <w:r w:rsidR="00EA4298" w:rsidRPr="00EA4298">
        <w:rPr>
          <w:color w:val="EE0000"/>
        </w:rPr>
        <w:t>Boundaries</w:t>
      </w:r>
      <w:r>
        <w:t xml:space="preserve">” indicators to monitor </w:t>
      </w:r>
      <w:commentRangeStart w:id="1"/>
      <w:r>
        <w:t xml:space="preserve">ecological </w:t>
      </w:r>
      <w:commentRangeEnd w:id="1"/>
      <w:r w:rsidR="00EA4298">
        <w:rPr>
          <w:rStyle w:val="CommentReference"/>
        </w:rPr>
        <w:commentReference w:id="1"/>
      </w:r>
      <w:r>
        <w:t>health in real time.</w:t>
      </w:r>
    </w:p>
    <w:p w14:paraId="00A5810E" w14:textId="77777777" w:rsidR="002A22B8" w:rsidRDefault="002A22B8" w:rsidP="002A22B8">
      <w:r>
        <w:t xml:space="preserve">• </w:t>
      </w:r>
      <w:r>
        <w:tab/>
        <w:t>Pilot a “Limit-Aware Innovation Fund” that finances small-scale, rapid-cycle experiments in circular-</w:t>
      </w:r>
      <w:commentRangeStart w:id="2"/>
      <w:r>
        <w:t>economy technologies.</w:t>
      </w:r>
      <w:commentRangeEnd w:id="2"/>
      <w:r w:rsidR="00F67B4B">
        <w:rPr>
          <w:rStyle w:val="CommentReference"/>
        </w:rPr>
        <w:commentReference w:id="2"/>
      </w:r>
    </w:p>
    <w:p w14:paraId="685499D3" w14:textId="21AADE06" w:rsidR="002A22B8" w:rsidRDefault="002A22B8" w:rsidP="002A22B8">
      <w:r>
        <w:t xml:space="preserve">• </w:t>
      </w:r>
      <w:r>
        <w:tab/>
        <w:t xml:space="preserve">Host a national youth-led “Future-Proof Canada” </w:t>
      </w:r>
      <w:r w:rsidRPr="00F67B4B">
        <w:rPr>
          <w:color w:val="EE0000"/>
        </w:rPr>
        <w:t>summit</w:t>
      </w:r>
      <w:r w:rsidR="00F67B4B" w:rsidRPr="00F67B4B">
        <w:rPr>
          <w:color w:val="EE0000"/>
        </w:rPr>
        <w:t>s</w:t>
      </w:r>
      <w:r>
        <w:t xml:space="preserve"> to crowdsource visions for 2100 and beyond.</w:t>
      </w:r>
    </w:p>
    <w:p w14:paraId="109E2626" w14:textId="09647DF2" w:rsidR="002A22B8" w:rsidRPr="00DC0D3B" w:rsidRDefault="002A22B8" w:rsidP="002A22B8">
      <w:r>
        <w:t>How do these proposed principles and steps resonate with your sense of Canada’s defining needs for the century ahead?</w:t>
      </w:r>
      <w:r w:rsidR="00F67B4B">
        <w:t xml:space="preserve"> – </w:t>
      </w:r>
      <w:r w:rsidR="00F67B4B" w:rsidRPr="00F67B4B">
        <w:rPr>
          <w:color w:val="EE0000"/>
        </w:rPr>
        <w:t>good step PKM</w:t>
      </w:r>
    </w:p>
    <w:p w14:paraId="5EDD16E2" w14:textId="77777777" w:rsidR="00CB5D15" w:rsidRDefault="00CB5D15"/>
    <w:sectPr w:rsidR="00CB5D15" w:rsidSect="002A22B8">
      <w:headerReference w:type="default" r:id="rId10"/>
      <w:footerReference w:type="default" r:id="rId11"/>
      <w:pgSz w:w="12240" w:h="15840"/>
      <w:pgMar w:top="720" w:right="720" w:bottom="624" w:left="720" w:header="142" w:footer="17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eter MacKinnon" w:date="2025-08-15T12:09:00Z" w:initials="PM">
    <w:p w14:paraId="2D62E044" w14:textId="2488A063" w:rsidR="00943659" w:rsidRDefault="00943659">
      <w:pPr>
        <w:pStyle w:val="CommentText"/>
      </w:pPr>
      <w:r>
        <w:rPr>
          <w:rStyle w:val="CommentReference"/>
        </w:rPr>
        <w:annotationRef/>
      </w:r>
      <w:r>
        <w:t>A Government Commission is a strong recommendations that in my view is to bureaucratic and time consuming to get to recommendations, this needs action,  e.g.; a Senior Minister has responsibility and supported by whatever other Ministers are need and this could run initiatives in parallel whereas a Commission is linear undertaking.</w:t>
      </w:r>
    </w:p>
  </w:comment>
  <w:comment w:id="1" w:author="Peter MacKinnon" w:date="2025-08-15T12:20:00Z" w:initials="PM">
    <w:p w14:paraId="10CF6748" w14:textId="30E681DF" w:rsidR="00EA4298" w:rsidRDefault="00EA4298">
      <w:pPr>
        <w:pStyle w:val="CommentText"/>
      </w:pPr>
      <w:r>
        <w:rPr>
          <w:rStyle w:val="CommentReference"/>
        </w:rPr>
        <w:annotationRef/>
      </w:r>
      <w:r>
        <w:t>I would recommend the word</w:t>
      </w:r>
      <w:r w:rsidR="00F67B4B">
        <w:t>s the “country’s</w:t>
      </w:r>
      <w:r>
        <w:t xml:space="preserve"> environmental </w:t>
      </w:r>
      <w:r w:rsidR="00F67B4B">
        <w:t xml:space="preserve">“ </w:t>
      </w:r>
      <w:r>
        <w:t>as it is broader than ecological in  a biological sense</w:t>
      </w:r>
    </w:p>
  </w:comment>
  <w:comment w:id="2" w:author="Peter MacKinnon" w:date="2025-08-15T12:23:00Z" w:initials="PM">
    <w:p w14:paraId="1611174A" w14:textId="7999F076" w:rsidR="00F67B4B" w:rsidRDefault="00F67B4B">
      <w:pPr>
        <w:pStyle w:val="CommentText"/>
      </w:pPr>
      <w:r>
        <w:rPr>
          <w:rStyle w:val="CommentReference"/>
        </w:rPr>
        <w:annotationRef/>
      </w:r>
      <w:r>
        <w:t>Q: With a view to do what, when, how etc. in a few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62E044" w15:done="0"/>
  <w15:commentEx w15:paraId="10CF6748" w15:done="0"/>
  <w15:commentEx w15:paraId="161117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CCF0FD" w16cex:dateUtc="2025-08-15T16:09:00Z"/>
  <w16cex:commentExtensible w16cex:durableId="01ED58F2" w16cex:dateUtc="2025-08-15T16:20:00Z"/>
  <w16cex:commentExtensible w16cex:durableId="0E3FC647" w16cex:dateUtc="2025-08-15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62E044" w16cid:durableId="5BCCF0FD"/>
  <w16cid:commentId w16cid:paraId="10CF6748" w16cid:durableId="01ED58F2"/>
  <w16cid:commentId w16cid:paraId="1611174A" w16cid:durableId="0E3FC6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96D18" w14:textId="77777777" w:rsidR="005428A5" w:rsidRDefault="005428A5">
      <w:pPr>
        <w:spacing w:after="0" w:line="240" w:lineRule="auto"/>
      </w:pPr>
      <w:r>
        <w:separator/>
      </w:r>
    </w:p>
  </w:endnote>
  <w:endnote w:type="continuationSeparator" w:id="0">
    <w:p w14:paraId="2A467BC7" w14:textId="77777777" w:rsidR="005428A5" w:rsidRDefault="0054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379449"/>
      <w:docPartObj>
        <w:docPartGallery w:val="Page Numbers (Bottom of Page)"/>
        <w:docPartUnique/>
      </w:docPartObj>
    </w:sdtPr>
    <w:sdtEndPr>
      <w:rPr>
        <w:noProof/>
        <w:sz w:val="28"/>
        <w:szCs w:val="28"/>
      </w:rPr>
    </w:sdtEndPr>
    <w:sdtContent>
      <w:p w14:paraId="7CC7AE53" w14:textId="77777777" w:rsidR="002A22B8" w:rsidRPr="002C5C68" w:rsidRDefault="002A22B8">
        <w:pPr>
          <w:pStyle w:val="Footer"/>
          <w:jc w:val="right"/>
          <w:rPr>
            <w:sz w:val="28"/>
            <w:szCs w:val="28"/>
          </w:rPr>
        </w:pPr>
        <w:r w:rsidRPr="002C5C68">
          <w:rPr>
            <w:sz w:val="28"/>
            <w:szCs w:val="28"/>
          </w:rPr>
          <w:fldChar w:fldCharType="begin"/>
        </w:r>
        <w:r w:rsidRPr="002C5C68">
          <w:rPr>
            <w:sz w:val="28"/>
            <w:szCs w:val="28"/>
          </w:rPr>
          <w:instrText xml:space="preserve"> PAGE   \* MERGEFORMAT </w:instrText>
        </w:r>
        <w:r w:rsidRPr="002C5C68">
          <w:rPr>
            <w:sz w:val="28"/>
            <w:szCs w:val="28"/>
          </w:rPr>
          <w:fldChar w:fldCharType="separate"/>
        </w:r>
        <w:r w:rsidRPr="002C5C68">
          <w:rPr>
            <w:noProof/>
            <w:sz w:val="28"/>
            <w:szCs w:val="28"/>
          </w:rPr>
          <w:t>2</w:t>
        </w:r>
        <w:r w:rsidRPr="002C5C68">
          <w:rPr>
            <w:noProof/>
            <w:sz w:val="28"/>
            <w:szCs w:val="28"/>
          </w:rPr>
          <w:fldChar w:fldCharType="end"/>
        </w:r>
      </w:p>
    </w:sdtContent>
  </w:sdt>
  <w:p w14:paraId="1377A90E" w14:textId="77777777" w:rsidR="002A22B8" w:rsidRDefault="002A2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D1031" w14:textId="77777777" w:rsidR="005428A5" w:rsidRDefault="005428A5">
      <w:pPr>
        <w:spacing w:after="0" w:line="240" w:lineRule="auto"/>
      </w:pPr>
      <w:r>
        <w:separator/>
      </w:r>
    </w:p>
  </w:footnote>
  <w:footnote w:type="continuationSeparator" w:id="0">
    <w:p w14:paraId="2B566938" w14:textId="77777777" w:rsidR="005428A5" w:rsidRDefault="00542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2D5D" w14:textId="77777777" w:rsidR="002A22B8" w:rsidRDefault="002A22B8" w:rsidP="00DC0D3B">
    <w:pPr>
      <w:pStyle w:val="Header"/>
      <w:ind w:left="-567"/>
    </w:pPr>
    <w:r w:rsidRPr="00FD54AB">
      <w:rPr>
        <w:noProof/>
      </w:rPr>
      <w:drawing>
        <wp:inline distT="0" distB="0" distL="0" distR="0" wp14:anchorId="4FD04B0B" wp14:editId="04DBBBFE">
          <wp:extent cx="778329" cy="778329"/>
          <wp:effectExtent l="0" t="0" r="3175" b="3175"/>
          <wp:docPr id="251521344" name="Picture 4" descr="A picture containing chart&#10;&#10;Description automatically generated">
            <a:extLst xmlns:a="http://schemas.openxmlformats.org/drawingml/2006/main">
              <a:ext uri="{FF2B5EF4-FFF2-40B4-BE49-F238E27FC236}">
                <a16:creationId xmlns:a16="http://schemas.microsoft.com/office/drawing/2014/main" id="{252AB09E-D33E-09A8-4D4E-173CC50BD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hart&#10;&#10;Description automatically generated">
                    <a:extLst>
                      <a:ext uri="{FF2B5EF4-FFF2-40B4-BE49-F238E27FC236}">
                        <a16:creationId xmlns:a16="http://schemas.microsoft.com/office/drawing/2014/main" id="{252AB09E-D33E-09A8-4D4E-173CC50BD47B}"/>
                      </a:ext>
                    </a:extLst>
                  </pic:cNvPr>
                  <pic:cNvPicPr>
                    <a:picLocks noChangeAspect="1"/>
                  </pic:cNvPicPr>
                </pic:nvPicPr>
                <pic:blipFill>
                  <a:blip r:embed="rId1"/>
                  <a:stretch>
                    <a:fillRect/>
                  </a:stretch>
                </pic:blipFill>
                <pic:spPr>
                  <a:xfrm>
                    <a:off x="0" y="0"/>
                    <a:ext cx="779305" cy="779305"/>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MacKinnon">
    <w15:presenceInfo w15:providerId="Windows Live" w15:userId="b2f8630c6da21d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B8"/>
    <w:rsid w:val="000F2AAB"/>
    <w:rsid w:val="001E6846"/>
    <w:rsid w:val="002A22B8"/>
    <w:rsid w:val="0033418E"/>
    <w:rsid w:val="00341D2C"/>
    <w:rsid w:val="005428A5"/>
    <w:rsid w:val="00561E33"/>
    <w:rsid w:val="008C0585"/>
    <w:rsid w:val="00943659"/>
    <w:rsid w:val="009B17FE"/>
    <w:rsid w:val="009E6967"/>
    <w:rsid w:val="00B763F5"/>
    <w:rsid w:val="00CB5D15"/>
    <w:rsid w:val="00EA4298"/>
    <w:rsid w:val="00EE6218"/>
    <w:rsid w:val="00F67B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D9FE8"/>
  <w15:chartTrackingRefBased/>
  <w15:docId w15:val="{5AAC3643-42A6-458C-B599-E84A4C6E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2B8"/>
    <w:pPr>
      <w:spacing w:line="278" w:lineRule="auto"/>
    </w:pPr>
    <w:rPr>
      <w:sz w:val="24"/>
      <w:szCs w:val="24"/>
    </w:rPr>
  </w:style>
  <w:style w:type="paragraph" w:styleId="Heading1">
    <w:name w:val="heading 1"/>
    <w:basedOn w:val="Normal"/>
    <w:next w:val="Normal"/>
    <w:link w:val="Heading1Char"/>
    <w:uiPriority w:val="9"/>
    <w:qFormat/>
    <w:rsid w:val="002A22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22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22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22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22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2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2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2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2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2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2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2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2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2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2B8"/>
    <w:rPr>
      <w:rFonts w:eastAsiaTheme="majorEastAsia" w:cstheme="majorBidi"/>
      <w:color w:val="272727" w:themeColor="text1" w:themeTint="D8"/>
    </w:rPr>
  </w:style>
  <w:style w:type="paragraph" w:styleId="Title">
    <w:name w:val="Title"/>
    <w:basedOn w:val="Normal"/>
    <w:next w:val="Normal"/>
    <w:link w:val="TitleChar"/>
    <w:uiPriority w:val="10"/>
    <w:qFormat/>
    <w:rsid w:val="002A2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2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2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2B8"/>
    <w:pPr>
      <w:spacing w:before="160"/>
      <w:jc w:val="center"/>
    </w:pPr>
    <w:rPr>
      <w:i/>
      <w:iCs/>
      <w:color w:val="404040" w:themeColor="text1" w:themeTint="BF"/>
    </w:rPr>
  </w:style>
  <w:style w:type="character" w:customStyle="1" w:styleId="QuoteChar">
    <w:name w:val="Quote Char"/>
    <w:basedOn w:val="DefaultParagraphFont"/>
    <w:link w:val="Quote"/>
    <w:uiPriority w:val="29"/>
    <w:rsid w:val="002A22B8"/>
    <w:rPr>
      <w:i/>
      <w:iCs/>
      <w:color w:val="404040" w:themeColor="text1" w:themeTint="BF"/>
    </w:rPr>
  </w:style>
  <w:style w:type="paragraph" w:styleId="ListParagraph">
    <w:name w:val="List Paragraph"/>
    <w:basedOn w:val="Normal"/>
    <w:uiPriority w:val="34"/>
    <w:qFormat/>
    <w:rsid w:val="002A22B8"/>
    <w:pPr>
      <w:ind w:left="720"/>
      <w:contextualSpacing/>
    </w:pPr>
  </w:style>
  <w:style w:type="character" w:styleId="IntenseEmphasis">
    <w:name w:val="Intense Emphasis"/>
    <w:basedOn w:val="DefaultParagraphFont"/>
    <w:uiPriority w:val="21"/>
    <w:qFormat/>
    <w:rsid w:val="002A22B8"/>
    <w:rPr>
      <w:i/>
      <w:iCs/>
      <w:color w:val="0F4761" w:themeColor="accent1" w:themeShade="BF"/>
    </w:rPr>
  </w:style>
  <w:style w:type="paragraph" w:styleId="IntenseQuote">
    <w:name w:val="Intense Quote"/>
    <w:basedOn w:val="Normal"/>
    <w:next w:val="Normal"/>
    <w:link w:val="IntenseQuoteChar"/>
    <w:uiPriority w:val="30"/>
    <w:qFormat/>
    <w:rsid w:val="002A22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22B8"/>
    <w:rPr>
      <w:i/>
      <w:iCs/>
      <w:color w:val="0F4761" w:themeColor="accent1" w:themeShade="BF"/>
    </w:rPr>
  </w:style>
  <w:style w:type="character" w:styleId="IntenseReference">
    <w:name w:val="Intense Reference"/>
    <w:basedOn w:val="DefaultParagraphFont"/>
    <w:uiPriority w:val="32"/>
    <w:qFormat/>
    <w:rsid w:val="002A22B8"/>
    <w:rPr>
      <w:b/>
      <w:bCs/>
      <w:smallCaps/>
      <w:color w:val="0F4761" w:themeColor="accent1" w:themeShade="BF"/>
      <w:spacing w:val="5"/>
    </w:rPr>
  </w:style>
  <w:style w:type="paragraph" w:styleId="Header">
    <w:name w:val="header"/>
    <w:basedOn w:val="Normal"/>
    <w:link w:val="HeaderChar"/>
    <w:uiPriority w:val="99"/>
    <w:unhideWhenUsed/>
    <w:rsid w:val="002A2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2B8"/>
    <w:rPr>
      <w:sz w:val="24"/>
      <w:szCs w:val="24"/>
    </w:rPr>
  </w:style>
  <w:style w:type="paragraph" w:styleId="Footer">
    <w:name w:val="footer"/>
    <w:basedOn w:val="Normal"/>
    <w:link w:val="FooterChar"/>
    <w:uiPriority w:val="99"/>
    <w:unhideWhenUsed/>
    <w:rsid w:val="002A2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2B8"/>
    <w:rPr>
      <w:sz w:val="24"/>
      <w:szCs w:val="24"/>
    </w:rPr>
  </w:style>
  <w:style w:type="character" w:styleId="CommentReference">
    <w:name w:val="annotation reference"/>
    <w:basedOn w:val="DefaultParagraphFont"/>
    <w:uiPriority w:val="99"/>
    <w:semiHidden/>
    <w:unhideWhenUsed/>
    <w:rsid w:val="00943659"/>
    <w:rPr>
      <w:sz w:val="16"/>
      <w:szCs w:val="16"/>
    </w:rPr>
  </w:style>
  <w:style w:type="paragraph" w:styleId="CommentText">
    <w:name w:val="annotation text"/>
    <w:basedOn w:val="Normal"/>
    <w:link w:val="CommentTextChar"/>
    <w:uiPriority w:val="99"/>
    <w:semiHidden/>
    <w:unhideWhenUsed/>
    <w:rsid w:val="00943659"/>
    <w:pPr>
      <w:spacing w:line="240" w:lineRule="auto"/>
    </w:pPr>
    <w:rPr>
      <w:sz w:val="20"/>
      <w:szCs w:val="20"/>
    </w:rPr>
  </w:style>
  <w:style w:type="character" w:customStyle="1" w:styleId="CommentTextChar">
    <w:name w:val="Comment Text Char"/>
    <w:basedOn w:val="DefaultParagraphFont"/>
    <w:link w:val="CommentText"/>
    <w:uiPriority w:val="99"/>
    <w:semiHidden/>
    <w:rsid w:val="00943659"/>
    <w:rPr>
      <w:sz w:val="20"/>
      <w:szCs w:val="20"/>
    </w:rPr>
  </w:style>
  <w:style w:type="paragraph" w:styleId="CommentSubject">
    <w:name w:val="annotation subject"/>
    <w:basedOn w:val="CommentText"/>
    <w:next w:val="CommentText"/>
    <w:link w:val="CommentSubjectChar"/>
    <w:uiPriority w:val="99"/>
    <w:semiHidden/>
    <w:unhideWhenUsed/>
    <w:rsid w:val="00943659"/>
    <w:rPr>
      <w:b/>
      <w:bCs/>
    </w:rPr>
  </w:style>
  <w:style w:type="character" w:customStyle="1" w:styleId="CommentSubjectChar">
    <w:name w:val="Comment Subject Char"/>
    <w:basedOn w:val="CommentTextChar"/>
    <w:link w:val="CommentSubject"/>
    <w:uiPriority w:val="99"/>
    <w:semiHidden/>
    <w:rsid w:val="009436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Hunter</dc:creator>
  <cp:keywords/>
  <dc:description/>
  <cp:lastModifiedBy>Peter MacKinnon</cp:lastModifiedBy>
  <cp:revision>6</cp:revision>
  <dcterms:created xsi:type="dcterms:W3CDTF">2025-08-15T15:53:00Z</dcterms:created>
  <dcterms:modified xsi:type="dcterms:W3CDTF">2025-08-15T16:26:00Z</dcterms:modified>
</cp:coreProperties>
</file>